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188</w:t>
      </w:r>
    </w:p>
    <w:p>
      <w:r>
        <w:t>Bundesgericht (BGE), 1985-10-21, DE</w:t>
      </w:r>
    </w:p>
    <w:p>
      <w:r>
        <w:rPr>
          <w:b/>
        </w:rPr>
        <w:t xml:space="preserve">Quelle: </w:t>
      </w:r>
      <w:r>
        <w:t>https://mcp.opencaselaw.ch/entscheid/bge_111 IV 188</w:t>
      </w:r>
    </w:p>
    <w:p>
      <w:r>
        <w:t>FR: ATF 111 IV 188</w:t>
      </w:r>
    </w:p>
    <w:p>
      <w:r>
        <w:t>IT: DTF 111 IV 188</w:t>
      </w:r>
    </w:p>
    <w:p>
      <w:pPr>
        <w:pStyle w:val="Heading2"/>
      </w:pPr>
      <w:r>
        <w:t>Regeste</w:t>
      </w:r>
    </w:p>
    <w:p>
      <w:r>
        <w:t>Regeste Art. 96 Abs. 1 VStrR; Beschwerde gegen Kostenerkenntnis. Nur wenn die Strafverfügung der Verwaltung im Hauptpunkt in Rechtskraft erwachsen, d.h. dagegen kein Rechtsmittel ergriffen worden ist, kann der Kostenentscheid bei der Anklagekammer des Bundesgerichts angefochten werden.</w:t>
      </w:r>
    </w:p>
    <w:p>
      <w:pPr>
        <w:pStyle w:val="Heading2"/>
      </w:pPr>
      <w:r>
        <w:t>Erwägungen</w:t>
      </w:r>
    </w:p>
    <w:p>
      <w:r>
        <w:rPr>
          <w:b/>
        </w:rPr>
        <w:t>E. 1</w:t>
      </w:r>
    </w:p>
    <w:p>
      <w:r>
        <w:t>Gegen den Strafbescheid der Verwaltung gibt es grundsätzlich keine Beschwerde an die Anklagekammer des Bundesgerichts, sondern einzig die Einsprache bei der Verwaltung (Art. 67 Abs. 1 und 68 Abs. 1 VStrR), die auf Antrag oder mit Zustimmung des Einsprechers als Begehren um gerichtliche Beurteilung behandelt werden kann ( Art. 71 VStrR ). Eine Ausnahme von der Regel BGE 111 IV 188 S. 189 besteht nur hinsichtlich des Kostenerkenntnisses, indem dieses auf dem Beschwerdeweg beim Bundesgericht angefochten werden kann, soweit das Verfahren gegen den Beschuldigten eingestellt wurde oder wenn dieser die gerichtliche Beurteilung nicht verlangt hat ( Art. 96 Abs. 1 VStrR ), mit anderen Worten, wenn im letzteren Fall die auf Einsprache hin ergangene Strafverfügung der Verwaltung ( Art. 70 VStrR ) im Hauptpunkt in Rechtskraft erwachsen ist. Solange der Kostenentscheid im Einspracheverfahren von der Verwaltung selber noch geändert werden kann oder wegen des gegen die Strafverfügung gerichteten Begehrens um gerichtliche Beurteilung weggefallen ist, ist die Beschwerde an die Anklagekammer nicht gegeben, bzw. fehlt es am Anfechtungsgegenstand.</w:t>
      </w:r>
    </w:p>
    <w:p>
      <w:r>
        <w:rPr>
          <w:b/>
        </w:rPr>
        <w:t>E. 2</w:t>
      </w:r>
    </w:p>
    <w:p>
      <w:r>
        <w:t>Im vorliegenden Fall hat der Beschwerdeführer gegen den Strafbescheid der EStV Einsprache erhoben mit der Folge, dass die genannte Verwaltung ihren Strafbescheid einschliesslich des Kostenpunktes nochmals überprüfen muss ( Art. 69 Abs. 1 VStrR ). Damit hat er von dem verwaltungsinternen Rechtsbehelf gegen den Strafbescheid Gebrauch gemacht und kann er deshalb nicht gleichzeitig beim Bundesgericht Beschwerde führen. Auf diese ist nicht einzutreten.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